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5B7B" w:rsidRPr="009A5B7B">
              <w:rPr>
                <w:rFonts w:asciiTheme="majorHAnsi" w:hAnsiTheme="majorHAnsi" w:cs="Arial"/>
                <w:b/>
                <w:sz w:val="18"/>
                <w:szCs w:val="18"/>
              </w:rPr>
              <w:t>Organske molekule u prostoru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A5B7B">
              <w:rPr>
                <w:rFonts w:asciiTheme="majorHAnsi" w:hAnsiTheme="majorHAnsi" w:cs="Arial"/>
                <w:b/>
                <w:sz w:val="18"/>
                <w:szCs w:val="18"/>
              </w:rPr>
              <w:t>OMP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A5B7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A5B7B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3B17E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3B17E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A5B7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A5B7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A5B7B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A5B7B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A5B7B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A5B7B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5B7B">
              <w:rPr>
                <w:rFonts w:asciiTheme="majorHAnsi" w:hAnsiTheme="majorHAnsi" w:cs="Arial"/>
                <w:b/>
                <w:sz w:val="18"/>
                <w:szCs w:val="18"/>
              </w:rPr>
              <w:t>22,50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A5B7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A5B7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5B7B">
              <w:rPr>
                <w:rFonts w:asciiTheme="majorHAnsi" w:hAnsiTheme="majorHAnsi"/>
                <w:b/>
                <w:sz w:val="18"/>
                <w:szCs w:val="18"/>
              </w:rPr>
              <w:t>35,67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A5B7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A5B7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5B7B">
              <w:rPr>
                <w:rFonts w:asciiTheme="majorHAnsi" w:hAnsiTheme="majorHAnsi" w:cs="Arial"/>
                <w:b/>
                <w:sz w:val="18"/>
                <w:szCs w:val="18"/>
              </w:rPr>
              <w:t>58,10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5B7B" w:rsidRPr="009A5B7B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A5B7B" w:rsidRPr="009A5B7B">
              <w:rPr>
                <w:rFonts w:asciiTheme="majorHAnsi" w:hAnsiTheme="majorHAnsi" w:cs="Arial"/>
                <w:b/>
                <w:sz w:val="18"/>
                <w:szCs w:val="18"/>
              </w:rPr>
              <w:t>Hemija/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9A5B7B">
              <w:rPr>
                <w:rFonts w:asciiTheme="majorHAnsi" w:hAnsiTheme="majorHAnsi" w:cs="Arial"/>
                <w:b/>
                <w:sz w:val="18"/>
                <w:szCs w:val="18"/>
              </w:rPr>
              <w:t>Dr.sc. Melita Huremović,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A5B7B" w:rsidRPr="009A5B7B">
              <w:rPr>
                <w:rFonts w:asciiTheme="majorHAnsi" w:hAnsiTheme="majorHAnsi" w:cs="Arial"/>
                <w:b/>
                <w:sz w:val="18"/>
                <w:szCs w:val="18"/>
              </w:rPr>
              <w:t>Cilj nastave iz stereohemije je da studenti ovladaju osnovnim znanjima o prostornoj strukturi molekula, konformacionoj analizi, hiralnosti, te uticaju prostornog rasporeda atoma na fizička i hemijska svojstva. Predmet obuhvata razumijevanje statičke i dinamičke stereohemije, kao i stereoselektivnosti i stereospecifičnosti reakcija.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A5B7B" w:rsidRPr="009A5B7B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položenog ispita iz stereohemije, očekuje se da student može definisati i razlikovati osnovne pojmove (izomeri, stereoizomeri, konformacije i dr.) kao i identifikovati hiralne centre (stereocentre) u molekulama i odrediti konfiguraciju (R/S sistem prema Cahn-Ingold-Prelog pravilima) Takođe, student treba znati prikazati trodimenzionalnu strukturu molekula koristeći različite projekcijske formule: Fischerove, Newmanove, Haworthove projekcije i klinaste formule. Na kraju, očekuje se da student može primijeniti stečena  znanja o stereohemiji u analizi strukture prirodnih spojeva i lijekova.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5B7B" w:rsidRPr="009A5B7B" w:rsidRDefault="00D05D23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5B7B" w:rsidRPr="009A5B7B">
              <w:rPr>
                <w:rFonts w:asciiTheme="majorHAnsi" w:hAnsiTheme="majorHAnsi" w:cs="Arial"/>
                <w:b/>
                <w:sz w:val="18"/>
                <w:szCs w:val="18"/>
              </w:rPr>
              <w:t>Uvod, molekulski modeli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Osnovni elementi simetrije, enantiomeri diastereoizomeri, mezo jedinjenja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Konfiguraciona analiza (hiralnost, elementi simetrije, optička aktivnost)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Apsolutna i relativna konfiguracija, D,L sistem obilježavanja hiralnih centara, Cahn- Ingold-Prelog (R,S) sistem obilježavanja hiralnih centara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Pseudoasimetrični C-atom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Racemska smjesa i razdvajanje enantiomera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Stereoformule(Klinaste, perspektivne, Newman-ove, Fischer-ove, Hawort-ove)</w:t>
            </w:r>
          </w:p>
          <w:p w:rsidR="00CB72ED" w:rsidRPr="00B96B4F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 xml:space="preserve">Dinamička stereohemija, prostereoizomerizam, prohiralnost)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5B7B" w:rsidRPr="009A5B7B">
              <w:rPr>
                <w:rFonts w:asciiTheme="majorHAnsi" w:hAnsiTheme="majorHAnsi" w:cs="Arial"/>
                <w:b/>
                <w:sz w:val="18"/>
                <w:szCs w:val="18"/>
              </w:rPr>
              <w:t>Učenje stereohemije (stereoizomerije) zahtijeva prelazak iz dvodimenzionalnog razmišljanja u trodimenzionalni prostor. S obzirom na takvu prirodu predmeta, najučinkovitije su metode koje omogućavaju vizualizaciju kroz predavanja i korištenjem softvera koji mogu dati uvid u 3D model molekule 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5B7B" w:rsidRPr="009A5B7B" w:rsidRDefault="00D05D23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5B7B" w:rsidRPr="009A5B7B">
              <w:rPr>
                <w:rFonts w:asciiTheme="majorHAnsi" w:hAnsiTheme="majorHAnsi" w:cs="Arial"/>
                <w:b/>
                <w:sz w:val="18"/>
                <w:szCs w:val="18"/>
              </w:rPr>
              <w:t>Pismena provjera znanja: Test 1, Test 2 i Završni  ispit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Test I obuhvata provjeru znanja iz predviđenih metodskih jedinica te nosi   30 bodova.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Test II  obuhvata provjeru znanja iz predviđenih metodskih jedinica te nosi 30bodova.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Završni ispit se boduje sa 30 bodova i obuhvata provjeru znanja iz cjelokupnog gradiva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  Maks.             Min.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 xml:space="preserve">Aktivnost na nastavi                        10                 7      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Test I                                                       30                16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                  30                 16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             30                  16</w:t>
            </w:r>
          </w:p>
          <w:p w:rsidR="009A5B7B" w:rsidRPr="009A5B7B" w:rsidRDefault="009A5B7B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A5B7B">
              <w:rPr>
                <w:rFonts w:asciiTheme="majorHAnsi" w:hAnsiTheme="majorHAnsi" w:cs="Arial"/>
                <w:b/>
                <w:sz w:val="18"/>
                <w:szCs w:val="18"/>
              </w:rPr>
              <w:t>Ukupno                                                100                  55</w:t>
            </w:r>
          </w:p>
          <w:p w:rsidR="00CB72ED" w:rsidRPr="00B96B4F" w:rsidRDefault="00D05D23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5B7B" w:rsidRDefault="00D05D23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9A5B7B" w:rsidRPr="009A5B7B">
              <w:rPr>
                <w:rFonts w:asciiTheme="majorHAnsi" w:hAnsiTheme="majorHAnsi" w:cs="Arial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:rsidR="00374E5F" w:rsidRPr="009A5B7B" w:rsidRDefault="00374E5F" w:rsidP="009A5B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BD4803" w:rsidRPr="00BD4803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Brojčan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a 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BD4803" w:rsidRPr="00BD4803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BD4803" w:rsidRPr="00BD4803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BD4803" w:rsidRPr="00BD4803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75-84</w:t>
            </w:r>
          </w:p>
          <w:p w:rsidR="00BD4803" w:rsidRPr="00BD4803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BD4803" w:rsidRPr="00BD4803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4803" w:rsidRPr="00BD4803" w:rsidRDefault="00D05D2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4803" w:rsidRPr="00BD4803">
              <w:rPr>
                <w:rFonts w:asciiTheme="majorHAnsi" w:hAnsiTheme="majorHAnsi" w:cs="Arial"/>
                <w:b/>
                <w:sz w:val="18"/>
                <w:szCs w:val="18"/>
              </w:rPr>
              <w:t xml:space="preserve">1. H. B. Kagan, Organska stereohemija, Prirodno-matematički fakultet Univerziteta u Beogradu (1987) (prevod) </w:t>
            </w:r>
          </w:p>
          <w:p w:rsidR="00BD4803" w:rsidRPr="00BD4803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 xml:space="preserve">2. Ernest L. Eliel, Samuel H. Wilen, Michael P. Doyle, Basic Organic Stereochemistry, John Wiley &amp; Sons,(2001). </w:t>
            </w:r>
          </w:p>
          <w:p w:rsidR="00BD4803" w:rsidRPr="00BD4803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 xml:space="preserve">3. S. H. Pine, Organska kemija, Školska knjiga Zagreb (1994) (prevod) </w:t>
            </w:r>
          </w:p>
          <w:p w:rsidR="00CB72ED" w:rsidRPr="00B96B4F" w:rsidRDefault="00BD4803" w:rsidP="00BD4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D4803">
              <w:rPr>
                <w:rFonts w:asciiTheme="majorHAnsi" w:hAnsiTheme="majorHAnsi" w:cs="Arial"/>
                <w:b/>
                <w:sz w:val="18"/>
                <w:szCs w:val="18"/>
              </w:rPr>
              <w:t>4. Lj. Došen-Mićović, Osnovi fizičke organske hemije i stereohemije, Zavod za udžbenike Beograd,(2006).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D4803" w:rsidRPr="00BD4803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5383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53836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53836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753836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7E1" w:rsidRDefault="003B17E1">
      <w:pPr>
        <w:spacing w:line="240" w:lineRule="auto"/>
      </w:pPr>
      <w:r>
        <w:separator/>
      </w:r>
    </w:p>
  </w:endnote>
  <w:endnote w:type="continuationSeparator" w:id="0">
    <w:p w:rsidR="003B17E1" w:rsidRDefault="003B17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44782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44782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4478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7E1" w:rsidRDefault="003B17E1">
      <w:pPr>
        <w:spacing w:after="0"/>
      </w:pPr>
      <w:r>
        <w:separator/>
      </w:r>
    </w:p>
  </w:footnote>
  <w:footnote w:type="continuationSeparator" w:id="0">
    <w:p w:rsidR="003B17E1" w:rsidRDefault="003B17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1519C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4E5F"/>
    <w:rsid w:val="00375FDE"/>
    <w:rsid w:val="00376A9C"/>
    <w:rsid w:val="00382F61"/>
    <w:rsid w:val="003842BC"/>
    <w:rsid w:val="003A053B"/>
    <w:rsid w:val="003A7CC0"/>
    <w:rsid w:val="003B17E1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3836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A5B7B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44782"/>
    <w:rsid w:val="00B478E8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4803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8AF5C4-AB78-4421-B917-A3C1D4D31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D8A97-CCD1-4679-9754-3348A4769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4</cp:revision>
  <cp:lastPrinted>2024-03-19T08:24:00Z</cp:lastPrinted>
  <dcterms:created xsi:type="dcterms:W3CDTF">2026-04-28T08:59:00Z</dcterms:created>
  <dcterms:modified xsi:type="dcterms:W3CDTF">2026-04-29T08:21:00Z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